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EF04" w14:textId="77777777" w:rsidR="00CE2D1B" w:rsidRDefault="00C91E58" w:rsidP="00CE2D1B">
      <w:r w:rsidRPr="008022DA">
        <w:rPr>
          <w:noProof/>
        </w:rPr>
        <w:drawing>
          <wp:anchor distT="0" distB="0" distL="114300" distR="114300" simplePos="0" relativeHeight="251659264" behindDoc="1" locked="0" layoutInCell="1" allowOverlap="1" wp14:anchorId="343FAAE9" wp14:editId="41D6C343">
            <wp:simplePos x="0" y="0"/>
            <wp:positionH relativeFrom="column">
              <wp:posOffset>-404592</wp:posOffset>
            </wp:positionH>
            <wp:positionV relativeFrom="paragraph">
              <wp:posOffset>-683895</wp:posOffset>
            </wp:positionV>
            <wp:extent cx="2100805" cy="611814"/>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100805" cy="611814"/>
                    </a:xfrm>
                    <a:prstGeom prst="rect">
                      <a:avLst/>
                    </a:prstGeom>
                  </pic:spPr>
                </pic:pic>
              </a:graphicData>
            </a:graphic>
            <wp14:sizeRelH relativeFrom="margin">
              <wp14:pctWidth>0</wp14:pctWidth>
            </wp14:sizeRelH>
            <wp14:sizeRelV relativeFrom="margin">
              <wp14:pctHeight>0</wp14:pctHeight>
            </wp14:sizeRelV>
          </wp:anchor>
        </w:drawing>
      </w:r>
    </w:p>
    <w:p w14:paraId="16C9ABC0" w14:textId="2C5582E2" w:rsidR="004B185E" w:rsidRPr="00B77503" w:rsidRDefault="004B185E" w:rsidP="00CE2D1B">
      <w:pPr>
        <w:rPr>
          <w:sz w:val="22"/>
          <w:szCs w:val="22"/>
        </w:rPr>
      </w:pPr>
      <w:r w:rsidRPr="00B77503">
        <w:rPr>
          <w:sz w:val="22"/>
          <w:szCs w:val="22"/>
        </w:rPr>
        <w:t>February 16, 2022</w:t>
      </w:r>
    </w:p>
    <w:p w14:paraId="7FFD205B" w14:textId="77777777" w:rsidR="004B185E" w:rsidRPr="00B77503" w:rsidRDefault="004B185E" w:rsidP="00C91E58">
      <w:pPr>
        <w:spacing w:after="0"/>
        <w:rPr>
          <w:sz w:val="22"/>
          <w:szCs w:val="22"/>
        </w:rPr>
      </w:pPr>
    </w:p>
    <w:p w14:paraId="3E488584" w14:textId="51CEA783" w:rsidR="00C91E58" w:rsidRPr="00B77503" w:rsidRDefault="00C91E58" w:rsidP="00C91E58">
      <w:pPr>
        <w:spacing w:after="0"/>
        <w:rPr>
          <w:sz w:val="22"/>
          <w:szCs w:val="22"/>
        </w:rPr>
      </w:pPr>
      <w:r w:rsidRPr="00B77503">
        <w:rPr>
          <w:sz w:val="22"/>
          <w:szCs w:val="22"/>
        </w:rPr>
        <w:t>Senate Committee on Finance</w:t>
      </w:r>
    </w:p>
    <w:p w14:paraId="7F36E8C0" w14:textId="77777777" w:rsidR="00C91E58" w:rsidRPr="00B77503" w:rsidRDefault="00C91E58" w:rsidP="00C91E58">
      <w:pPr>
        <w:spacing w:after="0"/>
        <w:rPr>
          <w:sz w:val="22"/>
          <w:szCs w:val="22"/>
        </w:rPr>
      </w:pPr>
      <w:r w:rsidRPr="00B77503">
        <w:rPr>
          <w:sz w:val="22"/>
          <w:szCs w:val="22"/>
        </w:rPr>
        <w:t>Attn. Editorial and Document Section</w:t>
      </w:r>
    </w:p>
    <w:p w14:paraId="788BF8BF" w14:textId="77777777" w:rsidR="00C91E58" w:rsidRPr="00B77503" w:rsidRDefault="00C91E58" w:rsidP="00C91E58">
      <w:pPr>
        <w:spacing w:after="0"/>
        <w:rPr>
          <w:sz w:val="22"/>
          <w:szCs w:val="22"/>
        </w:rPr>
      </w:pPr>
      <w:r w:rsidRPr="00B77503">
        <w:rPr>
          <w:sz w:val="22"/>
          <w:szCs w:val="22"/>
        </w:rPr>
        <w:t>Rm. SD-219</w:t>
      </w:r>
    </w:p>
    <w:p w14:paraId="2CD29FEA" w14:textId="77777777" w:rsidR="00C91E58" w:rsidRPr="00B77503" w:rsidRDefault="00C91E58" w:rsidP="00C91E58">
      <w:pPr>
        <w:spacing w:after="0"/>
        <w:rPr>
          <w:sz w:val="22"/>
          <w:szCs w:val="22"/>
        </w:rPr>
      </w:pPr>
      <w:r w:rsidRPr="00B77503">
        <w:rPr>
          <w:sz w:val="22"/>
          <w:szCs w:val="22"/>
        </w:rPr>
        <w:t>Dirksen Senate Office Bldg.</w:t>
      </w:r>
    </w:p>
    <w:p w14:paraId="500303B4" w14:textId="56366E7F" w:rsidR="007828D8" w:rsidRPr="00B77503" w:rsidRDefault="00C91E58" w:rsidP="00C91E58">
      <w:pPr>
        <w:spacing w:after="0"/>
        <w:rPr>
          <w:sz w:val="22"/>
          <w:szCs w:val="22"/>
        </w:rPr>
      </w:pPr>
      <w:r w:rsidRPr="00B77503">
        <w:rPr>
          <w:sz w:val="22"/>
          <w:szCs w:val="22"/>
        </w:rPr>
        <w:t>Washington, DC 20510-6200</w:t>
      </w:r>
    </w:p>
    <w:p w14:paraId="0139E192" w14:textId="59C5FCBD" w:rsidR="00C91E58" w:rsidRPr="00B77503" w:rsidRDefault="00C91E58" w:rsidP="00C91E58">
      <w:pPr>
        <w:spacing w:after="0"/>
        <w:rPr>
          <w:sz w:val="22"/>
          <w:szCs w:val="22"/>
        </w:rPr>
      </w:pPr>
      <w:r w:rsidRPr="00B77503">
        <w:rPr>
          <w:b/>
          <w:bCs w:val="0"/>
          <w:sz w:val="22"/>
          <w:szCs w:val="22"/>
        </w:rPr>
        <w:t>Hearing Title</w:t>
      </w:r>
      <w:r w:rsidRPr="00B77503">
        <w:rPr>
          <w:sz w:val="22"/>
          <w:szCs w:val="22"/>
        </w:rPr>
        <w:t>: Spotlighting IRS Customer Service Challenges</w:t>
      </w:r>
    </w:p>
    <w:p w14:paraId="7084B90D" w14:textId="4B510839" w:rsidR="00C91E58" w:rsidRPr="00B77503" w:rsidRDefault="00C91E58" w:rsidP="00C91E58">
      <w:pPr>
        <w:spacing w:after="0"/>
        <w:jc w:val="both"/>
        <w:rPr>
          <w:sz w:val="22"/>
          <w:szCs w:val="22"/>
        </w:rPr>
      </w:pPr>
      <w:r w:rsidRPr="00B77503">
        <w:rPr>
          <w:b/>
          <w:bCs w:val="0"/>
          <w:sz w:val="22"/>
          <w:szCs w:val="22"/>
        </w:rPr>
        <w:t>Hearing Date</w:t>
      </w:r>
      <w:r w:rsidRPr="00B77503">
        <w:rPr>
          <w:sz w:val="22"/>
          <w:szCs w:val="22"/>
        </w:rPr>
        <w:t>: Thursday, February 17, 2022, 10:00AM</w:t>
      </w:r>
    </w:p>
    <w:p w14:paraId="076AEFBB" w14:textId="15A57856" w:rsidR="00C91E58" w:rsidRPr="00B77503" w:rsidRDefault="00C91E58" w:rsidP="00C91E58">
      <w:pPr>
        <w:spacing w:after="0"/>
        <w:jc w:val="both"/>
        <w:rPr>
          <w:sz w:val="22"/>
          <w:szCs w:val="22"/>
        </w:rPr>
      </w:pPr>
      <w:r w:rsidRPr="00B77503">
        <w:rPr>
          <w:b/>
          <w:bCs w:val="0"/>
          <w:sz w:val="22"/>
          <w:szCs w:val="22"/>
        </w:rPr>
        <w:t>Name / Address of Submitter</w:t>
      </w:r>
      <w:r w:rsidRPr="00B77503">
        <w:rPr>
          <w:sz w:val="22"/>
          <w:szCs w:val="22"/>
        </w:rPr>
        <w:t>: Kenneth Dettman, CEO, EZERC LLC, 2550 N Federal Hwy, Ste 201, Fort Lauderdale, FL 33305</w:t>
      </w:r>
    </w:p>
    <w:p w14:paraId="5E8CE888" w14:textId="77777777" w:rsidR="00C91E58" w:rsidRPr="00B77503" w:rsidRDefault="00C91E58" w:rsidP="007828D8">
      <w:pPr>
        <w:jc w:val="both"/>
        <w:rPr>
          <w:sz w:val="22"/>
          <w:szCs w:val="22"/>
        </w:rPr>
      </w:pPr>
    </w:p>
    <w:p w14:paraId="2ADE0652" w14:textId="1B1DBA9D" w:rsidR="007828D8" w:rsidRPr="00B77503" w:rsidRDefault="007828D8" w:rsidP="007828D8">
      <w:pPr>
        <w:jc w:val="both"/>
        <w:rPr>
          <w:sz w:val="22"/>
          <w:szCs w:val="22"/>
        </w:rPr>
      </w:pPr>
      <w:r w:rsidRPr="00B77503">
        <w:rPr>
          <w:sz w:val="22"/>
          <w:szCs w:val="22"/>
        </w:rPr>
        <w:t xml:space="preserve">Dear </w:t>
      </w:r>
      <w:r w:rsidR="00C91E58" w:rsidRPr="00B77503">
        <w:rPr>
          <w:sz w:val="22"/>
          <w:szCs w:val="22"/>
        </w:rPr>
        <w:t>Members of the Committee on Finance</w:t>
      </w:r>
      <w:r w:rsidRPr="00B77503">
        <w:rPr>
          <w:sz w:val="22"/>
          <w:szCs w:val="22"/>
        </w:rPr>
        <w:t>,</w:t>
      </w:r>
    </w:p>
    <w:p w14:paraId="373E78E7" w14:textId="222F3BDB" w:rsidR="007828D8" w:rsidRPr="00B77503" w:rsidRDefault="004B185E" w:rsidP="007828D8">
      <w:pPr>
        <w:jc w:val="both"/>
        <w:rPr>
          <w:sz w:val="22"/>
          <w:szCs w:val="22"/>
        </w:rPr>
      </w:pPr>
      <w:r w:rsidRPr="00B77503">
        <w:rPr>
          <w:sz w:val="22"/>
          <w:szCs w:val="22"/>
        </w:rPr>
        <w:t>Considering</w:t>
      </w:r>
      <w:r w:rsidR="007828D8" w:rsidRPr="00B77503">
        <w:rPr>
          <w:sz w:val="22"/>
          <w:szCs w:val="22"/>
        </w:rPr>
        <w:t xml:space="preserve"> the operational challenges already faced by the IRS, </w:t>
      </w:r>
      <w:r w:rsidR="00636461" w:rsidRPr="00B77503">
        <w:rPr>
          <w:sz w:val="22"/>
          <w:szCs w:val="22"/>
        </w:rPr>
        <w:t xml:space="preserve">we </w:t>
      </w:r>
      <w:r w:rsidR="007828D8" w:rsidRPr="00B77503">
        <w:rPr>
          <w:sz w:val="22"/>
          <w:szCs w:val="22"/>
        </w:rPr>
        <w:t xml:space="preserve">respectfully ask that </w:t>
      </w:r>
      <w:r w:rsidR="00C00369" w:rsidRPr="00B77503">
        <w:rPr>
          <w:sz w:val="22"/>
          <w:szCs w:val="22"/>
        </w:rPr>
        <w:t>Congress and the IRS strongly</w:t>
      </w:r>
      <w:r w:rsidR="007828D8" w:rsidRPr="00B77503">
        <w:rPr>
          <w:sz w:val="22"/>
          <w:szCs w:val="22"/>
        </w:rPr>
        <w:t xml:space="preserve"> consider offering certain “small employers” a safe harbor election that will permit cash-basis treatment of the receipt of Employee Retention Credit (“ERC”) refunds.   At the time the CARES Act was drafted, it could not have been anticipated that the preponderance of ERC claims would be made </w:t>
      </w:r>
      <w:r w:rsidR="00C00369" w:rsidRPr="00B77503">
        <w:rPr>
          <w:sz w:val="22"/>
          <w:szCs w:val="22"/>
        </w:rPr>
        <w:t xml:space="preserve">through amended filing procedures, which in turn would require corollary amendments to ERC beneficiaries’ Federal income tax returns </w:t>
      </w:r>
      <w:r w:rsidRPr="00B77503">
        <w:rPr>
          <w:sz w:val="22"/>
          <w:szCs w:val="22"/>
        </w:rPr>
        <w:t>under</w:t>
      </w:r>
      <w:r w:rsidR="00C00369" w:rsidRPr="00B77503">
        <w:rPr>
          <w:sz w:val="22"/>
          <w:szCs w:val="22"/>
        </w:rPr>
        <w:t xml:space="preserve"> the strict application of Section 280C</w:t>
      </w:r>
      <w:r w:rsidR="00230F24" w:rsidRPr="00B77503">
        <w:rPr>
          <w:sz w:val="22"/>
          <w:szCs w:val="22"/>
        </w:rPr>
        <w:t xml:space="preserve">.  It is our view that this additional requirement imposes a significant unanticipated administrative and financial burden to both ERC recipients and the Internal Revenue Service and may possibly discourage small-and-medium-sized business owners under financial hardships from pursuing the stimulus program. </w:t>
      </w:r>
    </w:p>
    <w:p w14:paraId="4FC956A6" w14:textId="1074B6CC" w:rsidR="00C00369" w:rsidRPr="00B77503" w:rsidRDefault="00C00369" w:rsidP="007828D8">
      <w:pPr>
        <w:jc w:val="both"/>
        <w:rPr>
          <w:sz w:val="22"/>
          <w:szCs w:val="22"/>
        </w:rPr>
      </w:pPr>
      <w:r w:rsidRPr="00B77503">
        <w:rPr>
          <w:sz w:val="22"/>
          <w:szCs w:val="22"/>
        </w:rPr>
        <w:t>Considering the retroactive nature of the Consolidated Appropriations Act</w:t>
      </w:r>
      <w:r w:rsidR="00132D59" w:rsidRPr="00B77503">
        <w:rPr>
          <w:sz w:val="22"/>
          <w:szCs w:val="22"/>
        </w:rPr>
        <w:t xml:space="preserve"> (</w:t>
      </w:r>
      <w:r w:rsidRPr="00B77503">
        <w:rPr>
          <w:sz w:val="22"/>
          <w:szCs w:val="22"/>
        </w:rPr>
        <w:t>released December 27</w:t>
      </w:r>
      <w:r w:rsidR="004B185E" w:rsidRPr="00B77503">
        <w:rPr>
          <w:sz w:val="22"/>
          <w:szCs w:val="22"/>
        </w:rPr>
        <w:t>,</w:t>
      </w:r>
      <w:r w:rsidRPr="00B77503">
        <w:rPr>
          <w:sz w:val="22"/>
          <w:szCs w:val="22"/>
        </w:rPr>
        <w:t xml:space="preserve"> 2020</w:t>
      </w:r>
      <w:r w:rsidR="004B185E" w:rsidRPr="00B77503">
        <w:rPr>
          <w:sz w:val="22"/>
          <w:szCs w:val="22"/>
        </w:rPr>
        <w:t>)</w:t>
      </w:r>
      <w:r w:rsidRPr="00B77503">
        <w:rPr>
          <w:sz w:val="22"/>
          <w:szCs w:val="22"/>
        </w:rPr>
        <w:t xml:space="preserve"> and the prolonged guidance from the IRS on the application of the ERC’s “</w:t>
      </w:r>
      <w:r w:rsidRPr="00B77503">
        <w:rPr>
          <w:i/>
          <w:iCs/>
          <w:sz w:val="22"/>
          <w:szCs w:val="22"/>
        </w:rPr>
        <w:t>Interaction with Paycheck Protection Program (PPP) Loans</w:t>
      </w:r>
      <w:r w:rsidRPr="00B77503">
        <w:rPr>
          <w:sz w:val="22"/>
          <w:szCs w:val="22"/>
        </w:rPr>
        <w:t>” in Notice 2021-20</w:t>
      </w:r>
      <w:r w:rsidR="00132D59" w:rsidRPr="00B77503">
        <w:rPr>
          <w:sz w:val="22"/>
          <w:szCs w:val="22"/>
        </w:rPr>
        <w:t xml:space="preserve"> (</w:t>
      </w:r>
      <w:r w:rsidRPr="00B77503">
        <w:rPr>
          <w:sz w:val="22"/>
          <w:szCs w:val="22"/>
        </w:rPr>
        <w:t>released March 1, 2020</w:t>
      </w:r>
      <w:r w:rsidR="00132D59" w:rsidRPr="00B77503">
        <w:rPr>
          <w:sz w:val="22"/>
          <w:szCs w:val="22"/>
        </w:rPr>
        <w:t>),</w:t>
      </w:r>
      <w:r w:rsidRPr="00B77503">
        <w:rPr>
          <w:sz w:val="22"/>
          <w:szCs w:val="22"/>
        </w:rPr>
        <w:t xml:space="preserve"> </w:t>
      </w:r>
      <w:proofErr w:type="gramStart"/>
      <w:r w:rsidRPr="00B77503">
        <w:rPr>
          <w:sz w:val="22"/>
          <w:szCs w:val="22"/>
        </w:rPr>
        <w:t>the vast majority of</w:t>
      </w:r>
      <w:proofErr w:type="gramEnd"/>
      <w:r w:rsidRPr="00B77503">
        <w:rPr>
          <w:sz w:val="22"/>
          <w:szCs w:val="22"/>
        </w:rPr>
        <w:t xml:space="preserve"> employers wishing to take advantage of the ERC were not afforded adequate time and resources to have made an ERC claim in advance of filing their 2020 income tax return.  Further, many </w:t>
      </w:r>
      <w:r w:rsidR="00CE2D1B" w:rsidRPr="00B77503">
        <w:rPr>
          <w:sz w:val="22"/>
          <w:szCs w:val="22"/>
        </w:rPr>
        <w:t>closely held</w:t>
      </w:r>
      <w:r w:rsidR="00230F24" w:rsidRPr="00B77503">
        <w:rPr>
          <w:sz w:val="22"/>
          <w:szCs w:val="22"/>
        </w:rPr>
        <w:t xml:space="preserve"> </w:t>
      </w:r>
      <w:r w:rsidRPr="00B77503">
        <w:rPr>
          <w:sz w:val="22"/>
          <w:szCs w:val="22"/>
        </w:rPr>
        <w:t xml:space="preserve">business owners were unsure of how to </w:t>
      </w:r>
      <w:r w:rsidR="00851E6F" w:rsidRPr="00B77503">
        <w:rPr>
          <w:sz w:val="22"/>
          <w:szCs w:val="22"/>
        </w:rPr>
        <w:t xml:space="preserve">interpret </w:t>
      </w:r>
      <w:r w:rsidRPr="00B77503">
        <w:rPr>
          <w:sz w:val="22"/>
          <w:szCs w:val="22"/>
        </w:rPr>
        <w:t>the application of the “related party rules” to majority owner wages until the release of Notice 2021-49 on August 4, 2021</w:t>
      </w:r>
      <w:r w:rsidR="004B185E" w:rsidRPr="00B77503">
        <w:rPr>
          <w:sz w:val="22"/>
          <w:szCs w:val="22"/>
        </w:rPr>
        <w:t>, well after the original due date for 2020 income tax returns</w:t>
      </w:r>
      <w:r w:rsidRPr="00B77503">
        <w:rPr>
          <w:sz w:val="22"/>
          <w:szCs w:val="22"/>
        </w:rPr>
        <w:t xml:space="preserve">.  </w:t>
      </w:r>
    </w:p>
    <w:p w14:paraId="768A0143" w14:textId="5D0E3885" w:rsidR="00132D59" w:rsidRPr="00B77503" w:rsidRDefault="00132D59" w:rsidP="007828D8">
      <w:pPr>
        <w:jc w:val="both"/>
        <w:rPr>
          <w:sz w:val="22"/>
          <w:szCs w:val="22"/>
        </w:rPr>
      </w:pPr>
      <w:r w:rsidRPr="00B77503">
        <w:rPr>
          <w:sz w:val="22"/>
          <w:szCs w:val="22"/>
        </w:rPr>
        <w:t>Based on the above and due to the overall disjointed and confusing IRS guidance over the life of the program</w:t>
      </w:r>
      <w:r w:rsidRPr="00B77503">
        <w:rPr>
          <w:rStyle w:val="FootnoteReference"/>
          <w:sz w:val="22"/>
          <w:szCs w:val="22"/>
        </w:rPr>
        <w:footnoteReference w:id="1"/>
      </w:r>
      <w:r w:rsidRPr="00B77503">
        <w:rPr>
          <w:sz w:val="22"/>
          <w:szCs w:val="22"/>
        </w:rPr>
        <w:t xml:space="preserve">, it has been nearly impossible for most employers to have filed a timely filed Form 941 or Form 7200 to claim the ERC.  Furthermore, it </w:t>
      </w:r>
      <w:r w:rsidR="004B185E" w:rsidRPr="00B77503">
        <w:rPr>
          <w:sz w:val="22"/>
          <w:szCs w:val="22"/>
        </w:rPr>
        <w:t xml:space="preserve">could not have been </w:t>
      </w:r>
      <w:r w:rsidRPr="00B77503">
        <w:rPr>
          <w:sz w:val="22"/>
          <w:szCs w:val="22"/>
        </w:rPr>
        <w:t xml:space="preserve">contemplated by Congress that this government stimulus program, intended to aid and reward businesses in a timely manner, </w:t>
      </w:r>
      <w:r w:rsidR="00230F24" w:rsidRPr="00B77503">
        <w:rPr>
          <w:sz w:val="22"/>
          <w:szCs w:val="22"/>
        </w:rPr>
        <w:t>would</w:t>
      </w:r>
      <w:r w:rsidRPr="00B77503">
        <w:rPr>
          <w:sz w:val="22"/>
          <w:szCs w:val="22"/>
        </w:rPr>
        <w:t xml:space="preserve"> take over 6 months (and </w:t>
      </w:r>
      <w:r w:rsidR="006E34EB" w:rsidRPr="00B77503">
        <w:rPr>
          <w:sz w:val="22"/>
          <w:szCs w:val="22"/>
        </w:rPr>
        <w:t xml:space="preserve">in many cases </w:t>
      </w:r>
      <w:r w:rsidRPr="00B77503">
        <w:rPr>
          <w:sz w:val="22"/>
          <w:szCs w:val="22"/>
        </w:rPr>
        <w:t>more than 12 months) to</w:t>
      </w:r>
      <w:r w:rsidR="00CE2D1B" w:rsidRPr="00B77503">
        <w:rPr>
          <w:sz w:val="22"/>
          <w:szCs w:val="22"/>
        </w:rPr>
        <w:t xml:space="preserve"> process and</w:t>
      </w:r>
      <w:r w:rsidRPr="00B77503">
        <w:rPr>
          <w:sz w:val="22"/>
          <w:szCs w:val="22"/>
        </w:rPr>
        <w:t xml:space="preserve"> monetize.   </w:t>
      </w:r>
    </w:p>
    <w:p w14:paraId="1E46879A" w14:textId="431E7AEC" w:rsidR="00132D59" w:rsidRPr="00B77503" w:rsidRDefault="00132D59" w:rsidP="007828D8">
      <w:pPr>
        <w:jc w:val="both"/>
        <w:rPr>
          <w:sz w:val="22"/>
          <w:szCs w:val="22"/>
        </w:rPr>
      </w:pPr>
      <w:r w:rsidRPr="00B77503">
        <w:rPr>
          <w:sz w:val="22"/>
          <w:szCs w:val="22"/>
        </w:rPr>
        <w:t>As we approach the 2021 tax filing</w:t>
      </w:r>
      <w:r w:rsidR="00636461" w:rsidRPr="00B77503">
        <w:rPr>
          <w:sz w:val="22"/>
          <w:szCs w:val="22"/>
        </w:rPr>
        <w:t xml:space="preserve"> season, it will be imminent that any ERC claim will require any new applicants to also file an amended income tax return.   This </w:t>
      </w:r>
      <w:r w:rsidR="00831E01" w:rsidRPr="00B77503">
        <w:rPr>
          <w:sz w:val="22"/>
          <w:szCs w:val="22"/>
        </w:rPr>
        <w:t xml:space="preserve">imposes </w:t>
      </w:r>
      <w:r w:rsidR="00636461" w:rsidRPr="00B77503">
        <w:rPr>
          <w:sz w:val="22"/>
          <w:szCs w:val="22"/>
        </w:rPr>
        <w:t xml:space="preserve">an unwarranted administrative and financial burden </w:t>
      </w:r>
      <w:r w:rsidR="00831E01" w:rsidRPr="00B77503">
        <w:rPr>
          <w:sz w:val="22"/>
          <w:szCs w:val="22"/>
        </w:rPr>
        <w:t xml:space="preserve">on </w:t>
      </w:r>
      <w:r w:rsidR="00636461" w:rsidRPr="00B77503">
        <w:rPr>
          <w:sz w:val="22"/>
          <w:szCs w:val="22"/>
        </w:rPr>
        <w:t>these new applicants, and without doubt, an unwelcomed</w:t>
      </w:r>
      <w:r w:rsidR="00112A67" w:rsidRPr="00B77503">
        <w:rPr>
          <w:sz w:val="22"/>
          <w:szCs w:val="22"/>
        </w:rPr>
        <w:t>,</w:t>
      </w:r>
      <w:r w:rsidR="00636461" w:rsidRPr="00B77503">
        <w:rPr>
          <w:sz w:val="22"/>
          <w:szCs w:val="22"/>
        </w:rPr>
        <w:t xml:space="preserve"> additional administrative and </w:t>
      </w:r>
      <w:r w:rsidR="00636461" w:rsidRPr="00B77503">
        <w:rPr>
          <w:sz w:val="22"/>
          <w:szCs w:val="22"/>
        </w:rPr>
        <w:lastRenderedPageBreak/>
        <w:t xml:space="preserve">financial burden </w:t>
      </w:r>
      <w:r w:rsidR="00112A67" w:rsidRPr="00B77503">
        <w:rPr>
          <w:sz w:val="22"/>
          <w:szCs w:val="22"/>
        </w:rPr>
        <w:t xml:space="preserve">on </w:t>
      </w:r>
      <w:r w:rsidR="00636461" w:rsidRPr="00B77503">
        <w:rPr>
          <w:sz w:val="22"/>
          <w:szCs w:val="22"/>
        </w:rPr>
        <w:t xml:space="preserve">the Internal Revenue Service in terms of an increased volume of amended income tax returns to review and process. </w:t>
      </w:r>
    </w:p>
    <w:p w14:paraId="670534FE" w14:textId="77777777" w:rsidR="004B185E" w:rsidRPr="00B77503" w:rsidRDefault="00636461" w:rsidP="007828D8">
      <w:pPr>
        <w:jc w:val="both"/>
        <w:rPr>
          <w:sz w:val="22"/>
          <w:szCs w:val="22"/>
        </w:rPr>
      </w:pPr>
      <w:r w:rsidRPr="00B77503">
        <w:rPr>
          <w:sz w:val="22"/>
          <w:szCs w:val="22"/>
        </w:rPr>
        <w:t xml:space="preserve">Further compounding the administrative burden to both employers and the IRS, it is our recent experience with the IRS that an automatic late-payment penalty would be administered due any amended income tax return presenting a greater income tax liability (i.e., due to the unfavorable 280C adjustment), regardless of any explanatory statements that have been attached to the return to explain the reasonable-cause-basis for the increased liability.   As a result of the IRS’s current inability to comprehensively evaluate reasonable cause at the time of filing the amended returns, the automatic penalty procedures further result in an additional administrative, financial, and often emotional burden, of having to address and seek abatement for such penalties.  </w:t>
      </w:r>
    </w:p>
    <w:p w14:paraId="58A9E8F4" w14:textId="5FBF134E" w:rsidR="00636461" w:rsidRPr="00B77503" w:rsidRDefault="00D935AA" w:rsidP="007828D8">
      <w:pPr>
        <w:jc w:val="both"/>
        <w:rPr>
          <w:sz w:val="22"/>
          <w:szCs w:val="22"/>
        </w:rPr>
      </w:pPr>
      <w:r w:rsidRPr="00B77503">
        <w:rPr>
          <w:sz w:val="22"/>
          <w:szCs w:val="22"/>
        </w:rPr>
        <w:t>The IRS admittedly has been operating in a “critical mission” state since the beginning of the COVID-19 pandemic through the current day.  With reports of many letters, notices, and other correspondence taking upwards of 24</w:t>
      </w:r>
      <w:r w:rsidR="00B60189" w:rsidRPr="00B77503">
        <w:rPr>
          <w:sz w:val="22"/>
          <w:szCs w:val="22"/>
        </w:rPr>
        <w:t xml:space="preserve"> </w:t>
      </w:r>
      <w:r w:rsidRPr="00B77503">
        <w:rPr>
          <w:sz w:val="22"/>
          <w:szCs w:val="22"/>
        </w:rPr>
        <w:t>month</w:t>
      </w:r>
      <w:r w:rsidR="00B60189" w:rsidRPr="00B77503">
        <w:rPr>
          <w:sz w:val="22"/>
          <w:szCs w:val="22"/>
        </w:rPr>
        <w:t>s</w:t>
      </w:r>
      <w:r w:rsidRPr="00B77503">
        <w:rPr>
          <w:sz w:val="22"/>
          <w:szCs w:val="22"/>
        </w:rPr>
        <w:t xml:space="preserve"> to receive the IRS</w:t>
      </w:r>
      <w:r w:rsidR="00B60189" w:rsidRPr="00B77503">
        <w:rPr>
          <w:sz w:val="22"/>
          <w:szCs w:val="22"/>
        </w:rPr>
        <w:t>’s</w:t>
      </w:r>
      <w:r w:rsidRPr="00B77503">
        <w:rPr>
          <w:sz w:val="22"/>
          <w:szCs w:val="22"/>
        </w:rPr>
        <w:t xml:space="preserve"> attention, the outlook for employers looking to take advantage of the ERC at th</w:t>
      </w:r>
      <w:r w:rsidR="00351E2D" w:rsidRPr="00B77503">
        <w:rPr>
          <w:sz w:val="22"/>
          <w:szCs w:val="22"/>
        </w:rPr>
        <w:t>is</w:t>
      </w:r>
      <w:r w:rsidRPr="00B77503">
        <w:rPr>
          <w:sz w:val="22"/>
          <w:szCs w:val="22"/>
        </w:rPr>
        <w:t xml:space="preserve"> juncture is overwhelmed with additional time, cost, and stress.  Many, if not most, of these business owners are small</w:t>
      </w:r>
      <w:r w:rsidR="00CE2D1B" w:rsidRPr="00B77503">
        <w:rPr>
          <w:sz w:val="22"/>
          <w:szCs w:val="22"/>
        </w:rPr>
        <w:t>-</w:t>
      </w:r>
      <w:r w:rsidRPr="00B77503">
        <w:rPr>
          <w:sz w:val="22"/>
          <w:szCs w:val="22"/>
        </w:rPr>
        <w:t>and</w:t>
      </w:r>
      <w:r w:rsidR="00CE2D1B" w:rsidRPr="00B77503">
        <w:rPr>
          <w:sz w:val="22"/>
          <w:szCs w:val="22"/>
        </w:rPr>
        <w:t>-</w:t>
      </w:r>
      <w:r w:rsidRPr="00B77503">
        <w:rPr>
          <w:sz w:val="22"/>
          <w:szCs w:val="22"/>
        </w:rPr>
        <w:t>medium</w:t>
      </w:r>
      <w:r w:rsidR="00CE2D1B" w:rsidRPr="00B77503">
        <w:rPr>
          <w:sz w:val="22"/>
          <w:szCs w:val="22"/>
        </w:rPr>
        <w:t>-</w:t>
      </w:r>
      <w:r w:rsidRPr="00B77503">
        <w:rPr>
          <w:sz w:val="22"/>
          <w:szCs w:val="22"/>
        </w:rPr>
        <w:t xml:space="preserve">sized business owners that may not be able to bear the </w:t>
      </w:r>
      <w:r w:rsidR="008246BC" w:rsidRPr="00B77503">
        <w:rPr>
          <w:sz w:val="22"/>
          <w:szCs w:val="22"/>
        </w:rPr>
        <w:t xml:space="preserve">current financial burden to be supported by an external CPA or other advisor, leaving them ill-equipped to address the significant unanticipated and unintended consequences of pursuing an ERC claim through the amended return process.  </w:t>
      </w:r>
    </w:p>
    <w:p w14:paraId="46F884E8" w14:textId="65977CAD" w:rsidR="008246BC" w:rsidRPr="00B77503" w:rsidRDefault="008246BC" w:rsidP="007828D8">
      <w:pPr>
        <w:jc w:val="both"/>
        <w:rPr>
          <w:sz w:val="22"/>
          <w:szCs w:val="22"/>
        </w:rPr>
      </w:pPr>
      <w:r w:rsidRPr="00B77503">
        <w:rPr>
          <w:sz w:val="22"/>
          <w:szCs w:val="22"/>
        </w:rPr>
        <w:t>To remedy the</w:t>
      </w:r>
      <w:r w:rsidR="00CE2D1B" w:rsidRPr="00B77503">
        <w:rPr>
          <w:sz w:val="22"/>
          <w:szCs w:val="22"/>
        </w:rPr>
        <w:t>se</w:t>
      </w:r>
      <w:r w:rsidRPr="00B77503">
        <w:rPr>
          <w:sz w:val="22"/>
          <w:szCs w:val="22"/>
        </w:rPr>
        <w:t xml:space="preserve"> </w:t>
      </w:r>
      <w:proofErr w:type="gramStart"/>
      <w:r w:rsidRPr="00B77503">
        <w:rPr>
          <w:sz w:val="22"/>
          <w:szCs w:val="22"/>
        </w:rPr>
        <w:t>aforementioned burden</w:t>
      </w:r>
      <w:r w:rsidR="00CE2D1B" w:rsidRPr="00B77503">
        <w:rPr>
          <w:sz w:val="22"/>
          <w:szCs w:val="22"/>
        </w:rPr>
        <w:t>s</w:t>
      </w:r>
      <w:proofErr w:type="gramEnd"/>
      <w:r w:rsidR="00E979BA" w:rsidRPr="00B77503">
        <w:rPr>
          <w:sz w:val="22"/>
          <w:szCs w:val="22"/>
        </w:rPr>
        <w:t xml:space="preserve"> that ha</w:t>
      </w:r>
      <w:r w:rsidR="00CE2D1B" w:rsidRPr="00B77503">
        <w:rPr>
          <w:sz w:val="22"/>
          <w:szCs w:val="22"/>
        </w:rPr>
        <w:t>ve</w:t>
      </w:r>
      <w:r w:rsidR="00E979BA" w:rsidRPr="00B77503">
        <w:rPr>
          <w:sz w:val="22"/>
          <w:szCs w:val="22"/>
        </w:rPr>
        <w:t xml:space="preserve"> been</w:t>
      </w:r>
      <w:r w:rsidRPr="00B77503">
        <w:rPr>
          <w:sz w:val="22"/>
          <w:szCs w:val="22"/>
        </w:rPr>
        <w:t xml:space="preserve"> unintentionally imposed on employers</w:t>
      </w:r>
      <w:r w:rsidR="00CE2D1B" w:rsidRPr="00B77503">
        <w:rPr>
          <w:sz w:val="22"/>
          <w:szCs w:val="22"/>
        </w:rPr>
        <w:t xml:space="preserve"> and the IRS</w:t>
      </w:r>
      <w:r w:rsidRPr="00B77503">
        <w:rPr>
          <w:sz w:val="22"/>
          <w:szCs w:val="22"/>
        </w:rPr>
        <w:t xml:space="preserve">, we believe that it is appropriate for Congress and </w:t>
      </w:r>
      <w:r w:rsidR="00E979BA" w:rsidRPr="00B77503">
        <w:rPr>
          <w:sz w:val="22"/>
          <w:szCs w:val="22"/>
        </w:rPr>
        <w:t xml:space="preserve">the </w:t>
      </w:r>
      <w:r w:rsidRPr="00B77503">
        <w:rPr>
          <w:sz w:val="22"/>
          <w:szCs w:val="22"/>
        </w:rPr>
        <w:t>IRS to devise a solution to allow for small employer</w:t>
      </w:r>
      <w:r w:rsidR="00E979BA" w:rsidRPr="00B77503">
        <w:rPr>
          <w:sz w:val="22"/>
          <w:szCs w:val="22"/>
        </w:rPr>
        <w:t>s</w:t>
      </w:r>
      <w:r w:rsidRPr="00B77503">
        <w:rPr>
          <w:sz w:val="22"/>
          <w:szCs w:val="22"/>
        </w:rPr>
        <w:t xml:space="preserve"> to </w:t>
      </w:r>
      <w:r w:rsidR="00CE2D1B" w:rsidRPr="00B77503">
        <w:rPr>
          <w:sz w:val="22"/>
          <w:szCs w:val="22"/>
        </w:rPr>
        <w:t>elect</w:t>
      </w:r>
      <w:r w:rsidRPr="00B77503">
        <w:rPr>
          <w:sz w:val="22"/>
          <w:szCs w:val="22"/>
        </w:rPr>
        <w:t xml:space="preserve"> cash-basis treatment (i.e., a 280C adjustment in the year of receipt)</w:t>
      </w:r>
      <w:r w:rsidR="004B185E" w:rsidRPr="00B77503">
        <w:rPr>
          <w:sz w:val="22"/>
          <w:szCs w:val="22"/>
        </w:rPr>
        <w:t>.  Such election should be made by reflecting the 280C adjustment in the year the ERC was received</w:t>
      </w:r>
      <w:r w:rsidRPr="00B77503">
        <w:rPr>
          <w:sz w:val="22"/>
          <w:szCs w:val="22"/>
        </w:rPr>
        <w:t xml:space="preserve">.   Of course, </w:t>
      </w:r>
      <w:r w:rsidR="004B185E" w:rsidRPr="00B77503">
        <w:rPr>
          <w:sz w:val="22"/>
          <w:szCs w:val="22"/>
        </w:rPr>
        <w:t xml:space="preserve">we acknowledge that </w:t>
      </w:r>
      <w:proofErr w:type="gramStart"/>
      <w:r w:rsidRPr="00B77503">
        <w:rPr>
          <w:sz w:val="22"/>
          <w:szCs w:val="22"/>
        </w:rPr>
        <w:t>in order for</w:t>
      </w:r>
      <w:proofErr w:type="gramEnd"/>
      <w:r w:rsidRPr="00B77503">
        <w:rPr>
          <w:sz w:val="22"/>
          <w:szCs w:val="22"/>
        </w:rPr>
        <w:t xml:space="preserve"> this treatment to be equitable from the perspective of </w:t>
      </w:r>
      <w:r w:rsidR="004B185E" w:rsidRPr="00B77503">
        <w:rPr>
          <w:sz w:val="22"/>
          <w:szCs w:val="22"/>
        </w:rPr>
        <w:t xml:space="preserve">the U.S. </w:t>
      </w:r>
      <w:r w:rsidRPr="00B77503">
        <w:rPr>
          <w:sz w:val="22"/>
          <w:szCs w:val="22"/>
        </w:rPr>
        <w:t xml:space="preserve">Treasury, any interest </w:t>
      </w:r>
      <w:r w:rsidR="00C91E58" w:rsidRPr="00B77503">
        <w:rPr>
          <w:sz w:val="22"/>
          <w:szCs w:val="22"/>
        </w:rPr>
        <w:t xml:space="preserve">paid on an ERC should be </w:t>
      </w:r>
      <w:r w:rsidR="004B185E" w:rsidRPr="00B77503">
        <w:rPr>
          <w:sz w:val="22"/>
          <w:szCs w:val="22"/>
        </w:rPr>
        <w:t xml:space="preserve">immediately </w:t>
      </w:r>
      <w:r w:rsidR="00C91E58" w:rsidRPr="00B77503">
        <w:rPr>
          <w:sz w:val="22"/>
          <w:szCs w:val="22"/>
        </w:rPr>
        <w:t>repa</w:t>
      </w:r>
      <w:r w:rsidR="004B185E" w:rsidRPr="00B77503">
        <w:rPr>
          <w:sz w:val="22"/>
          <w:szCs w:val="22"/>
        </w:rPr>
        <w:t>yable</w:t>
      </w:r>
      <w:r w:rsidR="00C91E58" w:rsidRPr="00B77503">
        <w:rPr>
          <w:sz w:val="22"/>
          <w:szCs w:val="22"/>
        </w:rPr>
        <w:t xml:space="preserve"> by the recipient back to the IRS. </w:t>
      </w:r>
    </w:p>
    <w:p w14:paraId="768570A4" w14:textId="2FB0CDAC" w:rsidR="004B185E" w:rsidRPr="00B77503" w:rsidRDefault="00C91E58" w:rsidP="007828D8">
      <w:pPr>
        <w:jc w:val="both"/>
        <w:rPr>
          <w:sz w:val="22"/>
          <w:szCs w:val="22"/>
        </w:rPr>
      </w:pPr>
      <w:r w:rsidRPr="00B77503">
        <w:rPr>
          <w:sz w:val="22"/>
          <w:szCs w:val="22"/>
        </w:rPr>
        <w:t xml:space="preserve">We appreciate the opportunity to provide </w:t>
      </w:r>
      <w:r w:rsidR="004B185E" w:rsidRPr="00B77503">
        <w:rPr>
          <w:sz w:val="22"/>
          <w:szCs w:val="22"/>
        </w:rPr>
        <w:t xml:space="preserve">our views </w:t>
      </w:r>
      <w:r w:rsidR="00CE2D1B" w:rsidRPr="00B77503">
        <w:rPr>
          <w:sz w:val="22"/>
          <w:szCs w:val="22"/>
        </w:rPr>
        <w:t>on this matter</w:t>
      </w:r>
      <w:r w:rsidR="004B185E" w:rsidRPr="00B77503">
        <w:rPr>
          <w:sz w:val="22"/>
          <w:szCs w:val="22"/>
        </w:rPr>
        <w:t xml:space="preserve"> and look forward to your comments.  Please do not hesitate to contact me at (954) 461-7852 or </w:t>
      </w:r>
      <w:hyperlink r:id="rId8" w:history="1">
        <w:r w:rsidR="004B185E" w:rsidRPr="00B77503">
          <w:rPr>
            <w:rStyle w:val="Hyperlink"/>
            <w:sz w:val="22"/>
            <w:szCs w:val="22"/>
          </w:rPr>
          <w:t>kenneth@ez-erc.com</w:t>
        </w:r>
      </w:hyperlink>
      <w:r w:rsidR="004B185E" w:rsidRPr="00B77503">
        <w:rPr>
          <w:sz w:val="22"/>
          <w:szCs w:val="22"/>
        </w:rPr>
        <w:t>.</w:t>
      </w:r>
    </w:p>
    <w:p w14:paraId="60B4E198" w14:textId="2CCF12A8" w:rsidR="004B185E" w:rsidRPr="00B77503" w:rsidRDefault="00B77503" w:rsidP="007828D8">
      <w:pPr>
        <w:jc w:val="both"/>
        <w:rPr>
          <w:sz w:val="22"/>
          <w:szCs w:val="22"/>
        </w:rPr>
      </w:pPr>
      <w:r w:rsidRPr="00B77503">
        <w:rPr>
          <w:noProof/>
          <w:sz w:val="22"/>
          <w:szCs w:val="22"/>
        </w:rPr>
        <w:drawing>
          <wp:anchor distT="0" distB="0" distL="114300" distR="114300" simplePos="0" relativeHeight="251660288" behindDoc="1" locked="0" layoutInCell="1" allowOverlap="1" wp14:anchorId="190F37EE" wp14:editId="2B019CC7">
            <wp:simplePos x="0" y="0"/>
            <wp:positionH relativeFrom="margin">
              <wp:align>left</wp:align>
            </wp:positionH>
            <wp:positionV relativeFrom="paragraph">
              <wp:posOffset>152103</wp:posOffset>
            </wp:positionV>
            <wp:extent cx="1675519" cy="627458"/>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5519" cy="627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85E" w:rsidRPr="00B77503">
        <w:rPr>
          <w:sz w:val="22"/>
          <w:szCs w:val="22"/>
        </w:rPr>
        <w:t xml:space="preserve">Respectfully, </w:t>
      </w:r>
    </w:p>
    <w:p w14:paraId="1BEACA60" w14:textId="77777777" w:rsidR="004B185E" w:rsidRPr="00B77503" w:rsidRDefault="004B185E" w:rsidP="007828D8">
      <w:pPr>
        <w:jc w:val="both"/>
        <w:rPr>
          <w:sz w:val="22"/>
          <w:szCs w:val="22"/>
        </w:rPr>
      </w:pPr>
    </w:p>
    <w:p w14:paraId="467BC42B" w14:textId="77777777" w:rsidR="00B77503" w:rsidRDefault="00B77503" w:rsidP="004B185E">
      <w:pPr>
        <w:spacing w:after="0"/>
        <w:jc w:val="both"/>
        <w:rPr>
          <w:b/>
          <w:bCs w:val="0"/>
          <w:sz w:val="22"/>
          <w:szCs w:val="22"/>
        </w:rPr>
      </w:pPr>
    </w:p>
    <w:p w14:paraId="41B04C50" w14:textId="4798A842" w:rsidR="004B185E" w:rsidRPr="00B77503" w:rsidRDefault="004B185E" w:rsidP="004B185E">
      <w:pPr>
        <w:spacing w:after="0"/>
        <w:jc w:val="both"/>
        <w:rPr>
          <w:b/>
          <w:bCs w:val="0"/>
          <w:sz w:val="22"/>
          <w:szCs w:val="22"/>
        </w:rPr>
      </w:pPr>
      <w:r w:rsidRPr="00B77503">
        <w:rPr>
          <w:b/>
          <w:bCs w:val="0"/>
          <w:sz w:val="22"/>
          <w:szCs w:val="22"/>
        </w:rPr>
        <w:t>Kenneth Dettman</w:t>
      </w:r>
    </w:p>
    <w:p w14:paraId="0DEC6FFF" w14:textId="2FC243B8" w:rsidR="00C00369" w:rsidRPr="00B77503" w:rsidRDefault="004B185E" w:rsidP="00230F24">
      <w:pPr>
        <w:spacing w:after="0"/>
        <w:jc w:val="both"/>
        <w:rPr>
          <w:b/>
          <w:bCs w:val="0"/>
          <w:sz w:val="22"/>
          <w:szCs w:val="22"/>
        </w:rPr>
      </w:pPr>
      <w:r w:rsidRPr="00B77503">
        <w:rPr>
          <w:b/>
          <w:bCs w:val="0"/>
          <w:sz w:val="22"/>
          <w:szCs w:val="22"/>
        </w:rPr>
        <w:t xml:space="preserve">CEO &amp; Managing Director </w:t>
      </w:r>
      <w:r w:rsidR="00C91E58" w:rsidRPr="00B77503">
        <w:rPr>
          <w:b/>
          <w:bCs w:val="0"/>
          <w:sz w:val="22"/>
          <w:szCs w:val="22"/>
        </w:rPr>
        <w:t xml:space="preserve"> </w:t>
      </w:r>
    </w:p>
    <w:p w14:paraId="4AACB3F3" w14:textId="77777777" w:rsidR="00230F24" w:rsidRPr="00B77503" w:rsidRDefault="00230F24" w:rsidP="00230F24">
      <w:pPr>
        <w:spacing w:after="0"/>
        <w:jc w:val="both"/>
        <w:rPr>
          <w:sz w:val="22"/>
          <w:szCs w:val="22"/>
        </w:rPr>
      </w:pPr>
    </w:p>
    <w:p w14:paraId="52A618A3" w14:textId="6FEFB030" w:rsidR="00F35FC2" w:rsidRPr="00B77503" w:rsidRDefault="00F35FC2" w:rsidP="007828D8">
      <w:pPr>
        <w:jc w:val="both"/>
        <w:rPr>
          <w:sz w:val="22"/>
          <w:szCs w:val="22"/>
        </w:rPr>
      </w:pPr>
      <w:r w:rsidRPr="00B77503">
        <w:rPr>
          <w:sz w:val="22"/>
          <w:szCs w:val="22"/>
        </w:rPr>
        <w:t xml:space="preserve">cc: </w:t>
      </w:r>
      <w:hyperlink r:id="rId10" w:history="1">
        <w:r w:rsidR="008854BD" w:rsidRPr="00B77503">
          <w:rPr>
            <w:rStyle w:val="Hyperlink"/>
            <w:sz w:val="22"/>
            <w:szCs w:val="22"/>
          </w:rPr>
          <w:t>Statementsfortherecord@finance.senate.gov</w:t>
        </w:r>
      </w:hyperlink>
      <w:r w:rsidR="008854BD" w:rsidRPr="00B77503">
        <w:rPr>
          <w:sz w:val="22"/>
          <w:szCs w:val="22"/>
        </w:rPr>
        <w:t xml:space="preserve"> </w:t>
      </w:r>
    </w:p>
    <w:sectPr w:rsidR="00F35FC2" w:rsidRPr="00B77503" w:rsidSect="00CE2D1B">
      <w:head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AF0A" w14:textId="77777777" w:rsidR="006F6F75" w:rsidRDefault="006F6F75" w:rsidP="00132D59">
      <w:pPr>
        <w:spacing w:after="0" w:line="240" w:lineRule="auto"/>
      </w:pPr>
      <w:r>
        <w:separator/>
      </w:r>
    </w:p>
  </w:endnote>
  <w:endnote w:type="continuationSeparator" w:id="0">
    <w:p w14:paraId="5B87B713" w14:textId="77777777" w:rsidR="006F6F75" w:rsidRDefault="006F6F75" w:rsidP="0013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4665" w14:textId="77777777" w:rsidR="006F6F75" w:rsidRDefault="006F6F75" w:rsidP="00132D59">
      <w:pPr>
        <w:spacing w:after="0" w:line="240" w:lineRule="auto"/>
      </w:pPr>
      <w:r>
        <w:separator/>
      </w:r>
    </w:p>
  </w:footnote>
  <w:footnote w:type="continuationSeparator" w:id="0">
    <w:p w14:paraId="762D1EB8" w14:textId="77777777" w:rsidR="006F6F75" w:rsidRDefault="006F6F75" w:rsidP="00132D59">
      <w:pPr>
        <w:spacing w:after="0" w:line="240" w:lineRule="auto"/>
      </w:pPr>
      <w:r>
        <w:continuationSeparator/>
      </w:r>
    </w:p>
  </w:footnote>
  <w:footnote w:id="1">
    <w:p w14:paraId="18C49929" w14:textId="0DCE6431" w:rsidR="00132D59" w:rsidRDefault="00132D59">
      <w:pPr>
        <w:pStyle w:val="FootnoteText"/>
      </w:pPr>
      <w:r>
        <w:rPr>
          <w:rStyle w:val="FootnoteReference"/>
        </w:rPr>
        <w:footnoteRef/>
      </w:r>
      <w:r>
        <w:t xml:space="preserve"> In fact, the IRS continues to maintain an outdate</w:t>
      </w:r>
      <w:r w:rsidR="00581F01">
        <w:t>d</w:t>
      </w:r>
      <w:r>
        <w:t xml:space="preserve"> FAQ page that has many small business owners under the belief that they are </w:t>
      </w:r>
      <w:r w:rsidR="004D72DF">
        <w:t>in</w:t>
      </w:r>
      <w:r>
        <w:t xml:space="preserve">eligible for the ERC as a result of taking a PPP loan </w:t>
      </w:r>
      <w:r w:rsidR="00643552">
        <w:t>(</w:t>
      </w:r>
      <w:r w:rsidR="00643552" w:rsidRPr="00230F24">
        <w:rPr>
          <w:i/>
          <w:iCs/>
        </w:rPr>
        <w:t>See</w:t>
      </w:r>
      <w:r w:rsidR="00643552">
        <w:t xml:space="preserve">: </w:t>
      </w:r>
      <w:hyperlink r:id="rId1" w:history="1">
        <w:r w:rsidR="00643552" w:rsidRPr="00643552">
          <w:rPr>
            <w:rStyle w:val="Hyperlink"/>
          </w:rPr>
          <w:t>https://www.irs.gov/newsroom/covid-19-related-employee-retention-credits-interaction-with-other-credit-and-relief-provisions-faqs</w:t>
        </w:r>
      </w:hyperlink>
      <w:r w:rsidR="006435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E16F" w14:textId="433C17B0" w:rsidR="00C91E58" w:rsidRPr="008022DA" w:rsidRDefault="00C91E58" w:rsidP="00C91E58">
    <w:pPr>
      <w:pStyle w:val="Header"/>
      <w:rPr>
        <w:b/>
        <w:bCs w:val="0"/>
        <w:sz w:val="16"/>
        <w:szCs w:val="16"/>
      </w:rPr>
    </w:pPr>
    <w:r>
      <w:rPr>
        <w:b/>
        <w:sz w:val="16"/>
        <w:szCs w:val="16"/>
      </w:rPr>
      <w:tab/>
    </w:r>
    <w:r>
      <w:rPr>
        <w:b/>
        <w:sz w:val="16"/>
        <w:szCs w:val="16"/>
      </w:rPr>
      <w:tab/>
    </w:r>
    <w:r w:rsidRPr="008022DA">
      <w:rPr>
        <w:b/>
        <w:sz w:val="16"/>
        <w:szCs w:val="16"/>
      </w:rPr>
      <w:t>EZERC LLC</w:t>
    </w:r>
  </w:p>
  <w:p w14:paraId="5B2E430D" w14:textId="73659692" w:rsidR="00C91E58" w:rsidRDefault="00C91E58" w:rsidP="00C91E58">
    <w:pPr>
      <w:pStyle w:val="Header"/>
      <w:jc w:val="right"/>
      <w:rPr>
        <w:sz w:val="16"/>
        <w:szCs w:val="16"/>
      </w:rPr>
    </w:pPr>
    <w:r w:rsidRPr="008022DA">
      <w:rPr>
        <w:sz w:val="16"/>
        <w:szCs w:val="16"/>
      </w:rPr>
      <w:tab/>
    </w:r>
    <w:r w:rsidRPr="008022DA">
      <w:rPr>
        <w:sz w:val="16"/>
        <w:szCs w:val="16"/>
      </w:rPr>
      <w:tab/>
      <w:t>2550 N. Federal Hwy, Ste 201</w:t>
    </w:r>
  </w:p>
  <w:p w14:paraId="18CF40DD" w14:textId="77777777" w:rsidR="00C91E58" w:rsidRPr="008022DA" w:rsidRDefault="00C91E58" w:rsidP="00C91E58">
    <w:pPr>
      <w:pStyle w:val="Header"/>
      <w:jc w:val="right"/>
      <w:rPr>
        <w:sz w:val="16"/>
        <w:szCs w:val="16"/>
      </w:rPr>
    </w:pPr>
    <w:r w:rsidRPr="008022DA">
      <w:rPr>
        <w:sz w:val="16"/>
        <w:szCs w:val="16"/>
      </w:rPr>
      <w:t>Fort Lauderdale FL, 33305</w:t>
    </w:r>
  </w:p>
  <w:p w14:paraId="3B3E4D72" w14:textId="77777777" w:rsidR="00C91E58" w:rsidRDefault="00C91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D8"/>
    <w:rsid w:val="00112A67"/>
    <w:rsid w:val="00132D59"/>
    <w:rsid w:val="00230F24"/>
    <w:rsid w:val="00351E2D"/>
    <w:rsid w:val="0035466D"/>
    <w:rsid w:val="003E201B"/>
    <w:rsid w:val="004A49AB"/>
    <w:rsid w:val="004B185E"/>
    <w:rsid w:val="004D72DF"/>
    <w:rsid w:val="004F7F21"/>
    <w:rsid w:val="00581F01"/>
    <w:rsid w:val="005A77BD"/>
    <w:rsid w:val="00636461"/>
    <w:rsid w:val="00643552"/>
    <w:rsid w:val="00651914"/>
    <w:rsid w:val="006E34EB"/>
    <w:rsid w:val="006F6F75"/>
    <w:rsid w:val="007032E4"/>
    <w:rsid w:val="007828D8"/>
    <w:rsid w:val="007D5276"/>
    <w:rsid w:val="008246BC"/>
    <w:rsid w:val="00831E01"/>
    <w:rsid w:val="00851E6F"/>
    <w:rsid w:val="00866175"/>
    <w:rsid w:val="008854BD"/>
    <w:rsid w:val="00A30E47"/>
    <w:rsid w:val="00B60189"/>
    <w:rsid w:val="00B77503"/>
    <w:rsid w:val="00C00369"/>
    <w:rsid w:val="00C30EEE"/>
    <w:rsid w:val="00C91E58"/>
    <w:rsid w:val="00CA0BBF"/>
    <w:rsid w:val="00CE2D1B"/>
    <w:rsid w:val="00D935AA"/>
    <w:rsid w:val="00E979BA"/>
    <w:rsid w:val="00F3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C01C"/>
  <w15:chartTrackingRefBased/>
  <w15:docId w15:val="{04F536A8-4D78-423A-AE14-490A689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2D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D59"/>
    <w:rPr>
      <w:sz w:val="20"/>
      <w:szCs w:val="20"/>
    </w:rPr>
  </w:style>
  <w:style w:type="character" w:styleId="FootnoteReference">
    <w:name w:val="footnote reference"/>
    <w:basedOn w:val="DefaultParagraphFont"/>
    <w:uiPriority w:val="99"/>
    <w:semiHidden/>
    <w:unhideWhenUsed/>
    <w:rsid w:val="00132D59"/>
    <w:rPr>
      <w:vertAlign w:val="superscript"/>
    </w:rPr>
  </w:style>
  <w:style w:type="character" w:styleId="Hyperlink">
    <w:name w:val="Hyperlink"/>
    <w:basedOn w:val="DefaultParagraphFont"/>
    <w:uiPriority w:val="99"/>
    <w:unhideWhenUsed/>
    <w:rsid w:val="00132D59"/>
    <w:rPr>
      <w:color w:val="0563C1" w:themeColor="hyperlink"/>
      <w:u w:val="single"/>
    </w:rPr>
  </w:style>
  <w:style w:type="character" w:styleId="UnresolvedMention">
    <w:name w:val="Unresolved Mention"/>
    <w:basedOn w:val="DefaultParagraphFont"/>
    <w:uiPriority w:val="99"/>
    <w:semiHidden/>
    <w:unhideWhenUsed/>
    <w:rsid w:val="00132D59"/>
    <w:rPr>
      <w:color w:val="605E5C"/>
      <w:shd w:val="clear" w:color="auto" w:fill="E1DFDD"/>
    </w:rPr>
  </w:style>
  <w:style w:type="paragraph" w:styleId="Header">
    <w:name w:val="header"/>
    <w:basedOn w:val="Normal"/>
    <w:link w:val="HeaderChar"/>
    <w:uiPriority w:val="99"/>
    <w:unhideWhenUsed/>
    <w:rsid w:val="00C91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E58"/>
  </w:style>
  <w:style w:type="paragraph" w:styleId="Footer">
    <w:name w:val="footer"/>
    <w:basedOn w:val="Normal"/>
    <w:link w:val="FooterChar"/>
    <w:uiPriority w:val="99"/>
    <w:unhideWhenUsed/>
    <w:rsid w:val="00C9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E58"/>
  </w:style>
  <w:style w:type="paragraph" w:styleId="Revision">
    <w:name w:val="Revision"/>
    <w:hidden/>
    <w:uiPriority w:val="99"/>
    <w:semiHidden/>
    <w:rsid w:val="00230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ez-er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atementsfortherecord@finance.senate.gov" TargetMode="External"/><Relationship Id="rId4" Type="http://schemas.openxmlformats.org/officeDocument/2006/relationships/webSettings" Target="web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irs.gov/newsroom/covid-19-related-employee-retention-credits-interaction-with-other-credit-and-relief-provis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C879-2B0C-4F55-B4EA-337B65D4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Dettman</dc:creator>
  <cp:keywords/>
  <dc:description/>
  <cp:lastModifiedBy>Kenneth Dettman</cp:lastModifiedBy>
  <cp:revision>2</cp:revision>
  <dcterms:created xsi:type="dcterms:W3CDTF">2022-02-16T23:05:00Z</dcterms:created>
  <dcterms:modified xsi:type="dcterms:W3CDTF">2022-02-16T23:05:00Z</dcterms:modified>
</cp:coreProperties>
</file>